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tbl>
      <w:tblPr/>
      <w:tblGrid>
        <w:gridCol w:w="1400"/>
        <w:gridCol w:w="400"/>
        <w:gridCol w:w="5061"/>
        <w:gridCol w:w="3487"/>
      </w:tblGrid>
      <w:tr>
        <w:trPr>
          <w:tblCellMar>
            <w:top w:type="dxa" w:w="200"/>
          </w:tblCellMar>
        </w:trPr>
        <w:tblPrEx>
          <w:tblCellMar>
            <w:top w:type="dxa" w:w="200"/>
          </w:tblCellMar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1800"/>
          </w:tcPr>
          <w:p>
            <w:pPr>
              <w:jc w:val="left"/>
              <w:ind w:left="0" w:right="0"/>
              <w:spacing w:before="10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4"/>
              </w:rPr>
              <w:t xml:space="preserve"> </w:t>
            </w:r>
            <w:r>
              <w:drawing>
                <wp:inline>
                  <wp:extent cy="1238210" cx="1009650"/>
                  <wp:docPr id="1" name="pic1"/>
                  <a:graphic>
                    <a:graphicData uri="http://schemas.openxmlformats.org/drawingml/2006/picture">
                      <pic:pic>
                        <pic:nvPicPr>
                          <pic:cNvPr id="1" name="pic1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238210" cx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8548"/>
          </w:tcPr>
          <w:p>
            <w:pPr>
              <w:jc w:val="left"/>
              <w:ind w:left="0" w:right="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50"/>
                <w:b w:val="1"/>
              </w:rPr>
              <w:t xml:space="preserve">Шарафутдинова Наталья 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</w:rPr>
              <w:t>2</w:t>
            </w:r>
            <w:r>
              <w:rPr>
                <w:sz w:val="18"/>
              </w:rPr>
              <w:t>5</w:t>
            </w:r>
            <w:r>
              <w:rPr>
                <w:rFonts w:hAnsi="Arial" w:ascii="Arial"/>
                <w:sz w:val="18"/>
              </w:rPr>
              <w:t> </w:t>
            </w:r>
            <w:r>
              <w:rPr>
                <w:sz w:val="18"/>
              </w:rPr>
              <w:t>лет</w:t>
            </w:r>
            <w:r>
              <w:rPr>
                <w:rFonts w:hAnsi="Arial" w:ascii="Arial"/>
                <w:sz w:val="18"/>
              </w:rPr>
              <w:t xml:space="preserve">, родилась 6 марта 1991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18"/>
              </w:rPr>
            </w:pP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18"/>
              </w:rPr>
            </w:pPr>
            <w:r>
              <w:rPr>
                <w:rFonts w:hAnsi="Arial" w:ascii="Arial"/>
                <w:sz w:val="18"/>
              </w:rPr>
              <w:t>+7 (950) 073-20-35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24"/>
              </w:rPr>
            </w:pPr>
            <w:hyperlink r:id="rId2">
              <w:r>
                <w:rPr>
                  <w:rFonts w:hAnsi="Arial" w:ascii="Arial"/>
                  <w:sz w:val="18"/>
                  <w:u w:val="single"/>
                </w:rPr>
                <w:t>nata19912011@mail.ru</w:t>
              </w:r>
            </w:hyperlink>
            <w:r>
              <w:rPr>
                <w:rFonts w:hAnsi="Arial" w:ascii="Arial"/>
                <w:sz w:val="18"/>
              </w:rPr>
              <w:t xml:space="preserve"> 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18"/>
              </w:rPr>
            </w:pPr>
            <w:r>
              <w:rPr>
                <w:rFonts w:hAnsi="Arial" w:ascii="Arial"/>
                <w:sz w:val="18"/>
              </w:rPr>
              <w:t xml:space="preserve">Проживание: Иркутская область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18"/>
              </w:rPr>
            </w:pPr>
            <w:r>
              <w:rPr>
                <w:rFonts w:hAnsi="Arial" w:ascii="Arial"/>
                <w:sz w:val="18"/>
              </w:rPr>
              <w:t xml:space="preserve">Гражданство: Россия</w:t>
            </w:r>
          </w:p>
          <w:p>
            <w:pPr>
              <w:jc w:val="left"/>
              <w:ind w:left="0" w:right="0"/>
              <w:spacing w:lineRule="atLeast" w:line="260"/>
              <w:rPr>
                <w:sz w:val="18"/>
              </w:rPr>
            </w:pPr>
            <w:r>
              <w:rPr>
                <w:rFonts w:hAnsi="Arial" w:ascii="Arial"/>
                <w:sz w:val="18"/>
              </w:rPr>
              <w:t xml:space="preserve">Готова к переезду, готова к командировкам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18"/>
              </w:rPr>
            </w:pPr>
            <w:r>
              <w:rPr>
                <w:sz w:val="18"/>
              </w:rPr>
              <w:t xml:space="preserve">Не замужем , детей не имею.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4"/>
            <w:tcW w:type="dxa" w:w="10348"/>
          </w:tcPr>
          <w:p>
            <w:pPr>
              <w:jc w:val="left"/>
              <w:ind w:left="0" w:right="0"/>
              <w:pBdr>
                <w:bottom w:sz="6" w:val="single" w:color="d8d8d8"/>
              </w:pBdr>
              <w:spacing w:before="500" w:after="15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2"/>
                <w:color w:val="aeaeae"/>
              </w:rPr>
              <w:t xml:space="preserve">Желаемая должность и зарплата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3"/>
            <w:tcW w:type="dxa" w:w="6861"/>
          </w:tcPr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18"/>
              </w:rPr>
            </w:pPr>
            <w:r>
              <w:rPr>
                <w:rFonts w:hAnsi="Arial" w:ascii="Arial"/>
                <w:sz w:val="24"/>
                <w:b w:val="1"/>
              </w:rPr>
              <w:t xml:space="preserve">Специалист по закупкам и снабжению</w:t>
            </w:r>
            <w:r>
              <w:rPr>
                <w:b w:val="1"/>
              </w:rPr>
              <w:t>,</w:t>
            </w:r>
          </w:p>
          <w:p>
            <w:pPr>
              <w:jc w:val="left"/>
              <w:ind w:right="0"/>
              <w:spacing w:lineRule="atLeast" w:line="260"/>
              <w:rPr>
                <w:b w:val="1"/>
              </w:rPr>
            </w:pPr>
            <w:r>
              <w:rPr>
                <w:b w:val="1"/>
              </w:rPr>
              <w:t xml:space="preserve">комендант, охрана, уборщица и т.д. (все варианты)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18"/>
              </w:rPr>
            </w:pPr>
            <w:r>
              <w:rPr>
                <w:rFonts w:hAnsi="Arial" w:ascii="Arial"/>
                <w:sz w:val="18"/>
              </w:rPr>
              <w:t xml:space="preserve">Полная занятость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18"/>
              </w:rPr>
            </w:pPr>
            <w:r>
              <w:rPr>
                <w:rFonts w:hAnsi="Arial" w:ascii="Arial"/>
                <w:sz w:val="18"/>
              </w:rPr>
              <w:t xml:space="preserve">График работы: полный день, сменный график, гибкий график, </w:t>
            </w:r>
            <w:r>
              <w:rPr>
                <w:rFonts w:hAnsi="Arial" w:ascii="Arial"/>
                <w:sz w:val="18"/>
                <w:u w:val="single"/>
              </w:rPr>
              <w:t xml:space="preserve">вахтовый метод</w:t>
            </w: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tcW w:type="dxa" w:w="3487"/>
          </w:tcPr>
          <w:p>
            <w:pPr>
              <w:jc w:val="right"/>
              <w:ind w:left="0" w:right="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2"/>
                <w:b w:val="1"/>
              </w:rPr>
              <w:t xml:space="preserve">От </w:t>
            </w:r>
            <w:r>
              <w:rPr>
                <w:sz w:val="44"/>
                <w:b w:val="1"/>
              </w:rPr>
              <w:t>35</w:t>
            </w:r>
            <w:r>
              <w:rPr>
                <w:rFonts w:hAnsi="Arial" w:ascii="Arial"/>
                <w:sz w:val="44"/>
                <w:b w:val="1"/>
              </w:rPr>
              <w:t> 000</w:t>
            </w:r>
            <w:r>
              <w:rPr>
                <w:rFonts w:hAnsi="Arial" w:ascii="Arial"/>
                <w:sz w:val="24"/>
              </w:rPr>
              <w:br/>
            </w:r>
            <w:r>
              <w:rPr>
                <w:rFonts w:hAnsi="Arial" w:ascii="Arial"/>
                <w:sz w:val="18"/>
              </w:rPr>
              <w:t>руб.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4"/>
            <w:tcW w:type="dxa" w:w="10348"/>
          </w:tcPr>
          <w:p>
            <w:pPr>
              <w:jc w:val="left"/>
              <w:ind w:left="0" w:right="0"/>
              <w:pBdr>
                <w:bottom w:sz="6" w:val="single" w:color="d8d8d8"/>
              </w:pBdr>
              <w:spacing w:before="500" w:after="15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2"/>
                <w:color w:val="aeaeae"/>
              </w:rPr>
              <w:t xml:space="preserve">Опыт работы 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tcW w:type="dxa" w:w="1400"/>
          </w:tcPr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  <w:r>
              <w:rPr>
                <w:sz w:val="16"/>
                <w:color w:val="707070"/>
              </w:rPr>
              <w:t xml:space="preserve">Сентябрь 2015-</w:t>
            </w: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  <w:r>
              <w:rPr>
                <w:sz w:val="16"/>
                <w:color w:val="707070"/>
              </w:rPr>
              <w:t xml:space="preserve">Октябрь 2016</w:t>
            </w: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</w:p>
          <w:p>
            <w:pPr>
              <w:jc w:val="left"/>
              <w:ind w:left="0" w:right="0"/>
              <w:spacing w:lineRule="atLeast" w:line="220"/>
              <w:rPr>
                <w:sz w:val="16"/>
                <w:color w:val="707070"/>
              </w:rPr>
            </w:pPr>
          </w:p>
          <w:p>
            <w:pPr>
              <w:jc w:val="left"/>
              <w:ind w:left="0" w:right="0"/>
              <w:spacing w:lineRule="atLeast" w:line="220"/>
              <w:rPr>
                <w:rFonts w:hAnsi="Arial" w:ascii="Arial"/>
                <w:sz w:val="16"/>
                <w:color w:val="707070"/>
              </w:rPr>
            </w:pPr>
            <w:r>
              <w:rPr>
                <w:rFonts w:hAnsi="Arial" w:ascii="Arial"/>
                <w:sz w:val="16"/>
                <w:color w:val="707070"/>
              </w:rPr>
              <w:t xml:space="preserve">Декабрь 2013 </w:t>
            </w:r>
            <w:r>
              <w:rPr>
                <w:sz w:val="16"/>
                <w:color w:val="707070"/>
              </w:rPr>
              <w:t xml:space="preserve">- Август 2015</w:t>
            </w: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tcW w:type="dxa" w:w="400"/>
          </w:tcPr>
          <w:p>
            <w:pPr>
              <w:jc w:val="left"/>
              <w:ind w:left="0" w:right="0"/>
              <w:rPr>
                <w:rFonts w:hAnsi="Arial" w:ascii="Arial"/>
                <w:sz w:val="24"/>
              </w:rPr>
            </w:pP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8548"/>
          </w:tcPr>
          <w:p>
            <w:pPr>
              <w:jc w:val="left"/>
              <w:ind w:left="0" w:right="0"/>
              <w:spacing w:lineRule="atLeast" w:line="280"/>
              <w:rPr>
                <w:b w:val="1"/>
              </w:rPr>
            </w:pPr>
            <w:r>
              <w:rPr>
                <w:b w:val="1"/>
              </w:rPr>
              <w:t>ООО"Друза"</w:t>
            </w:r>
          </w:p>
          <w:p>
            <w:pPr>
              <w:jc w:val="left"/>
              <w:ind w:left="0" w:right="0"/>
              <w:spacing w:lineRule="atLeast" w:line="280"/>
              <w:rPr>
                <w:sz w:val="18"/>
              </w:rPr>
            </w:pPr>
            <w:r>
              <w:rPr>
                <w:sz w:val="18"/>
              </w:rPr>
              <w:t xml:space="preserve">Иркутская область</w:t>
            </w:r>
          </w:p>
          <w:p>
            <w:pPr>
              <w:jc w:val="left"/>
              <w:ind w:left="0" w:right="0"/>
              <w:spacing w:lineRule="atLeast" w:line="280"/>
            </w:pPr>
            <w:r>
              <w:t xml:space="preserve">Оператор системы видеонаблюдения.</w:t>
            </w:r>
          </w:p>
          <w:p>
            <w:pPr>
              <w:jc w:val="left"/>
              <w:ind w:left="0" w:right="0"/>
              <w:spacing w:lineRule="atLeast" w:line="280"/>
              <w:rPr>
                <w:sz w:val="18"/>
              </w:rPr>
            </w:pPr>
            <w:r>
              <w:rPr>
                <w:sz w:val="18"/>
              </w:rPr>
              <w:t xml:space="preserve">-Контроль постредством системы видеонаблюдения, исполнения инструкций, доступа в катигорированные зоны, контроль и осмотр входящих и выходящих из отделений, пресечение противоправных посягательств на ТМЦ.</w:t>
            </w:r>
          </w:p>
          <w:p>
            <w:pPr>
              <w:jc w:val="left"/>
              <w:ind w:left="0" w:right="0"/>
              <w:spacing w:lineRule="atLeast" w:line="280"/>
              <w:rPr>
                <w:b w:val="1"/>
              </w:rPr>
            </w:pPr>
          </w:p>
          <w:p>
            <w:pPr>
              <w:jc w:val="left"/>
              <w:ind w:left="0" w:right="0"/>
              <w:spacing w:lineRule="atLeast" w:line="280"/>
              <w:rPr>
                <w:b w:val="1"/>
              </w:rPr>
            </w:pPr>
          </w:p>
          <w:p>
            <w:pPr>
              <w:jc w:val="left"/>
              <w:ind w:left="0" w:right="0"/>
              <w:spacing w:lineRule="atLeast" w:line="280"/>
              <w:rPr>
                <w:b w:val="1"/>
              </w:rPr>
            </w:pPr>
          </w:p>
          <w:p>
            <w:pPr>
              <w:jc w:val="left"/>
              <w:ind w:left="0" w:right="0"/>
              <w:spacing w:lineRule="atLeast" w:line="28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4"/>
                <w:b w:val="1"/>
              </w:rPr>
              <w:t>ООО"Сибавтотех"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  <w:color w:val="aeaeae"/>
              </w:rPr>
              <w:t xml:space="preserve">Иркутская область</w:t>
            </w:r>
          </w:p>
          <w:p>
            <w:pPr>
              <w:jc w:val="left"/>
              <w:ind w:left="0" w:right="0"/>
              <w:spacing w:before="60" w:after="60" w:lineRule="atLeast" w:line="28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4"/>
              </w:rPr>
              <w:t xml:space="preserve">Специалист по снабжению</w:t>
            </w:r>
          </w:p>
          <w:p>
            <w:pPr>
              <w:jc w:val="left"/>
              <w:ind w:left="0" w:right="0"/>
              <w:spacing w:after="60"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</w:rPr>
              <w:t xml:space="preserve">-контроль наполнения склада, планирование складских</w:t>
              <w:br/>
              <w:t>запасов;</w:t>
              <w:br/>
              <w:t xml:space="preserve">- выбор поставщиков (лучших цен и условий), размещение</w:t>
              <w:br/>
              <w:t>заказов;</w:t>
              <w:br/>
              <w:t xml:space="preserve">- контроль платежей;</w:t>
              <w:br/>
              <w:t xml:space="preserve">- контроль сроков отгрузки товара, контроль движения</w:t>
              <w:br/>
              <w:t xml:space="preserve">грузов; - отслеживание движения цен на рынке;</w:t>
              <w:br/>
              <w:t xml:space="preserve">- выяснение репутации потенциальных поставщиков;</w:t>
              <w:br/>
              <w:t xml:space="preserve">- обсуждение условий контракта, сроков и условий поставки,</w:t>
              <w:br/>
              <w:t xml:space="preserve">транспортных вопросов.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tcW w:type="dxa" w:w="1400"/>
          </w:tcPr>
          <w:p>
            <w:pPr>
              <w:jc w:val="left"/>
              <w:ind w:left="0" w:right="0"/>
              <w:spacing w:before="250" w:lineRule="atLeast" w:line="220"/>
              <w:rPr>
                <w:rFonts w:hAnsi="Arial" w:ascii="Arial"/>
                <w:sz w:val="16"/>
                <w:color w:val="707070"/>
              </w:rPr>
            </w:pPr>
            <w:r>
              <w:rPr>
                <w:rFonts w:hAnsi="Arial" w:ascii="Arial"/>
                <w:sz w:val="16"/>
                <w:color w:val="707070"/>
              </w:rPr>
              <w:t xml:space="preserve">Июнь 2011 — Январь 2012</w:t>
            </w: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tcW w:type="dxa" w:w="400"/>
          </w:tcPr>
          <w:p>
            <w:pPr>
              <w:jc w:val="left"/>
              <w:ind w:left="0" w:right="0"/>
              <w:spacing w:before="250"/>
              <w:rPr>
                <w:rFonts w:hAnsi="Arial" w:ascii="Arial"/>
                <w:sz w:val="24"/>
              </w:rPr>
            </w:pP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8548"/>
          </w:tcPr>
          <w:p>
            <w:pPr>
              <w:jc w:val="left"/>
              <w:ind w:left="0" w:right="0"/>
              <w:spacing w:before="250" w:lineRule="atLeast" w:line="28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4"/>
                <w:b w:val="1"/>
              </w:rPr>
              <w:t xml:space="preserve">ФГУП "Иркутский авиазавод"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  <w:color w:val="aeaeae"/>
              </w:rPr>
              <w:t xml:space="preserve">Иркутская область</w:t>
            </w:r>
          </w:p>
          <w:p>
            <w:pPr>
              <w:jc w:val="left"/>
              <w:ind w:left="0" w:right="0"/>
              <w:spacing w:before="60" w:after="60" w:lineRule="atLeast" w:line="28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4"/>
              </w:rPr>
              <w:t>Контролер-охранник</w:t>
            </w:r>
          </w:p>
          <w:p>
            <w:pPr>
              <w:jc w:val="left"/>
              <w:ind w:left="0" w:right="0"/>
              <w:spacing w:after="60"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</w:rPr>
              <w:t xml:space="preserve">-Обеспечение строгого соблюдения контрольно-пропускного режима на территорию.</w:t>
              <w:br/>
              <w:t xml:space="preserve">-Несение службы по охране объектов и материальных ценностей.</w:t>
              <w:br/>
              <w:t xml:space="preserve">-Осуществление проверки документов у проходящих на охраняемый объект (выходящих с объекта) лиц и контроль за ввозом и вывозом (выносом) материальных ценностей</w:t>
              <w:br/>
              <w:t xml:space="preserve">-Осуществление контроля за работой установленных на предприятии приборов охранной и охранно-пожарной сигнализации, сообщение об их срабатывании руководителю службы безопасности</w:t>
              <w:br/>
              <w:t xml:space="preserve">- Принимает под охрану от материально ответственных лиц оборудованных сигнализацией обособленные помещения.</w:t>
              <w:br/>
              <w:t xml:space="preserve">-При объявлении тревоги на охраняемом объекте перекрывает контрольно-пропускной пункт, выпуск (впуск) с объекта (на объект) всех лиц производит только с разрешения руководителя службы безопасности / начальника охраны.</w:t>
              <w:br/>
              <w:t xml:space="preserve">-Осуществления задержания лиц, пытающихся незаконно вывезти (вынести) материальные ценности с охраняемого объекта или подозреваемых в совершении правонарушений, и сопровождение их в караульное помещение или отделение милиции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tcW w:type="dxa" w:w="1400"/>
          </w:tcPr>
          <w:p>
            <w:pPr>
              <w:jc w:val="left"/>
              <w:ind w:left="0" w:right="0"/>
              <w:spacing w:before="250" w:lineRule="atLeast" w:line="220"/>
              <w:rPr>
                <w:rFonts w:hAnsi="Arial" w:ascii="Arial"/>
                <w:sz w:val="16"/>
                <w:color w:val="707070"/>
              </w:rPr>
            </w:pPr>
            <w:r>
              <w:rPr>
                <w:rFonts w:hAnsi="Arial" w:ascii="Arial"/>
                <w:sz w:val="16"/>
                <w:color w:val="707070"/>
              </w:rPr>
              <w:t xml:space="preserve">Ноябрь 2008 — Апрель 2010</w:t>
            </w: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tcW w:type="dxa" w:w="400"/>
          </w:tcPr>
          <w:p>
            <w:pPr>
              <w:jc w:val="left"/>
              <w:ind w:left="0" w:right="0"/>
              <w:spacing w:before="250"/>
              <w:rPr>
                <w:rFonts w:hAnsi="Arial" w:ascii="Arial"/>
                <w:sz w:val="24"/>
              </w:rPr>
            </w:pP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8548"/>
          </w:tcPr>
          <w:p>
            <w:pPr>
              <w:jc w:val="left"/>
              <w:ind w:left="0" w:right="0"/>
              <w:spacing w:before="250" w:lineRule="atLeast" w:line="28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4"/>
                <w:b w:val="1"/>
              </w:rPr>
              <w:t>"Ковчег"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  <w:color w:val="aeaeae"/>
              </w:rPr>
              <w:t xml:space="preserve">Иркутская область</w:t>
            </w:r>
          </w:p>
          <w:p>
            <w:pPr>
              <w:jc w:val="left"/>
              <w:ind w:left="0" w:right="0"/>
              <w:spacing w:before="60" w:after="60" w:lineRule="atLeast" w:line="28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4"/>
              </w:rPr>
              <w:t>Администратор</w:t>
            </w:r>
          </w:p>
          <w:p>
            <w:pPr>
              <w:jc w:val="left"/>
              <w:ind w:left="0" w:right="0"/>
              <w:spacing w:after="60"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</w:rPr>
              <w:t xml:space="preserve">Обеспечение работы по эффективному и культурному  обслуживанию посетителей, созданию для них комфортных условий. Осуществление контроля за своевременной подготовкой  номеров  к приему прибывающих в гостиницу, соблюдение  чистоты  в  гостинице, регулярной сменой белья в номерах, сохранностью имущества и оборудования. Информирование  проживающих   в  гостинице  о  предоставляемых дополнительных платных услугах,  прием  заказов  на  их  выполнение  и контролирование их исполнения. Дает устные справки,  касающиеся услуг гостиницы, расположения городских достопримечательностей, зрелищных, спортивных сооружений и т.д. Принимает и оформляет необходимые документы. Осуществление   контроля за  исполнением  работниками  указаний руководства гостиницы. Контроль за соблюдением  работниками  организации  трудовой  и производственной  дисциплины,  правил  и  норм  охраны   труда,   техники безопасности, требований производственной санитарии и гигиены. Принимает  меры  к  разрешению  конфликтов,   возникающих   при обслуживании проживающих. Рассмотрение  претензии,  связанной   с   неудовлетворительным обслуживанием клиентов и проводит  соответствующие организационно-технические мероприятия. Информирование  руководства  гостиницы об имеющихся недостатках в обслуживании клиентов, принимает меры к их ликвидации.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4"/>
            <w:tcW w:type="dxa" w:w="10348"/>
          </w:tcPr>
          <w:p>
            <w:pPr>
              <w:jc w:val="left"/>
              <w:ind w:left="0" w:right="0"/>
              <w:pBdr>
                <w:bottom w:sz="6" w:val="single" w:color="d8d8d8"/>
              </w:pBdr>
              <w:spacing w:before="500" w:after="15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2"/>
                <w:color w:val="aeaeae"/>
              </w:rPr>
              <w:t>Образование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4"/>
            <w:tcW w:type="dxa" w:w="10348"/>
          </w:tcPr>
          <w:p>
            <w:pPr>
              <w:jc w:val="left"/>
              <w:ind w:left="0" w:right="0"/>
              <w:spacing w:lineRule="atLeast" w:line="22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2"/>
              </w:rPr>
              <w:t xml:space="preserve">Среднее специальное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1800"/>
          </w:tcPr>
          <w:p>
            <w:pPr>
              <w:jc w:val="left"/>
              <w:ind w:left="0" w:right="0"/>
              <w:spacing w:lineRule="atLeast" w:line="22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6"/>
                <w:color w:val="707070"/>
              </w:rPr>
              <w:t>2010</w:t>
            </w: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8548"/>
          </w:tcPr>
          <w:p>
            <w:pPr>
              <w:jc w:val="left"/>
              <w:ind w:left="0" w:right="0"/>
              <w:spacing w:lineRule="atLeast" w:line="28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4"/>
                <w:b w:val="1"/>
              </w:rPr>
              <w:t xml:space="preserve">Российская академия правосудия при верховном суде и высшем арбитражном суде (колледж)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</w:rPr>
              <w:t xml:space="preserve">Правоведения, Юриспруденция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4"/>
            <w:tcW w:type="dxa" w:w="10348"/>
          </w:tcPr>
          <w:p>
            <w:pPr>
              <w:jc w:val="left"/>
              <w:ind w:left="0" w:right="0"/>
              <w:pBdr>
                <w:bottom w:sz="6" w:val="single" w:color="d8d8d8"/>
              </w:pBdr>
              <w:spacing w:before="500" w:after="15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2"/>
                <w:color w:val="aeaeae"/>
              </w:rPr>
              <w:t xml:space="preserve">Повышение квалификации, курсы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1800"/>
          </w:tcPr>
          <w:p>
            <w:pPr>
              <w:jc w:val="left"/>
              <w:ind w:left="0" w:right="0"/>
              <w:spacing w:lineRule="atLeast" w:line="22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6"/>
                <w:color w:val="707070"/>
              </w:rPr>
              <w:t>2007</w:t>
            </w: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8548"/>
          </w:tcPr>
          <w:p>
            <w:pPr>
              <w:jc w:val="left"/>
              <w:ind w:left="0" w:right="0"/>
              <w:spacing w:lineRule="atLeast" w:line="28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4"/>
                <w:b w:val="1"/>
              </w:rPr>
              <w:t xml:space="preserve">Частной охранной деятельности</w:t>
            </w:r>
          </w:p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</w:rPr>
              <w:t xml:space="preserve">Институт МВД России г. Иркутск, Частный охранник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4"/>
            <w:tcW w:type="dxa" w:w="10348"/>
          </w:tcPr>
          <w:p>
            <w:pPr>
              <w:jc w:val="left"/>
              <w:ind w:left="0" w:right="0"/>
              <w:pBdr>
                <w:bottom w:sz="6" w:val="single" w:color="d8d8d8"/>
              </w:pBdr>
              <w:spacing w:before="500" w:after="15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2"/>
                <w:color w:val="aeaeae"/>
              </w:rPr>
              <w:t xml:space="preserve">Ключевые навыки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1800"/>
          </w:tcPr>
          <w:p>
            <w:pPr>
              <w:jc w:val="left"/>
              <w:ind w:left="0" w:right="0"/>
              <w:spacing w:lineRule="atLeast" w:line="22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6"/>
                <w:color w:val="707070"/>
              </w:rPr>
              <w:t xml:space="preserve">Знание языков</w:t>
            </w: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8548"/>
          </w:tcPr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</w:rPr>
              <w:t xml:space="preserve">Русский 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1800"/>
          </w:tcPr>
          <w:p>
            <w:pPr>
              <w:jc w:val="left"/>
              <w:ind w:left="0" w:right="0"/>
              <w:spacing w:before="250" w:lineRule="atLeast" w:line="22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6"/>
                <w:color w:val="707070"/>
              </w:rPr>
              <w:t>Навыки</w:t>
            </w: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8548"/>
          </w:tcPr>
          <w:p>
            <w:pPr>
              <w:jc w:val="left"/>
              <w:ind w:left="0" w:right="0"/>
              <w:spacing w:after="200" w:lineRule="atLeast" w:line="276"/>
              <w:rPr>
                <w:rFonts w:hAnsi="Arial" w:ascii="Arial"/>
                <w:sz w:val="18"/>
              </w:rPr>
            </w:pPr>
            <w:r>
              <w:rPr>
                <w:rFonts w:hAnsi="Arial" w:ascii="Arial"/>
                <w:sz w:val="18"/>
              </w:rPr>
              <w:t xml:space="preserve">Работа с поставщиками. Оптимизация закупок. Планирование запасов. Контроль отгрузок.  Складской документооборот. Водительское удостоверение категории «B,С»  Оперативный поиск информации в сети Интернет. Планирование закупок  Управление цепочкой поставок. Закупки. Материально-техническое обеспечение.  Ведение переговоров. Расчеты с покупателями. Управление продажами . Заключение договоров. Закупка товаров и услуг. Пользователь ПК.  Поиск и привлечение клиентов. Управление персоналом. Умение работать в команде.  Прием посетителей. Охрана объекта.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4"/>
            <w:tcW w:type="dxa" w:w="10348"/>
          </w:tcPr>
          <w:p>
            <w:pPr>
              <w:jc w:val="left"/>
              <w:ind w:left="0" w:right="0"/>
              <w:pBdr>
                <w:bottom w:sz="6" w:val="single" w:color="d8d8d8"/>
              </w:pBdr>
              <w:spacing w:before="500" w:after="15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22"/>
                <w:color w:val="aeaeae"/>
              </w:rPr>
              <w:t xml:space="preserve">Дополнительная информация</w:t>
            </w:r>
          </w:p>
        </w:tc>
      </w:tr>
      <w:tr>
        <w:trPr>
          <w:tblCellMar/>
        </w:trPr>
        <w:tblPrEx>
          <w:tblCellMar/>
          <w:tblW w:type="dxa" w:w="10348"/>
        </w:tblPrEx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1800"/>
          </w:tcPr>
          <w:p>
            <w:pPr>
              <w:jc w:val="left"/>
              <w:ind w:left="0" w:right="0"/>
              <w:spacing w:lineRule="atLeast" w:line="22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6"/>
                <w:color w:val="707070"/>
              </w:rPr>
              <w:t xml:space="preserve">Обо мне</w:t>
            </w:r>
          </w:p>
        </w:tc>
        <w:tc>
          <w:tcPr>
            <w:tcBorders>
              <w:top w:val="none"/>
              <w:right w:val="none"/>
              <w:bottom w:val="none"/>
              <w:left w:val="none"/>
            </w:tcBorders>
            <w:gridSpan w:val="2"/>
            <w:tcW w:type="dxa" w:w="8548"/>
          </w:tcPr>
          <w:p>
            <w:pPr>
              <w:jc w:val="left"/>
              <w:ind w:left="0" w:right="0"/>
              <w:spacing w:lineRule="atLeast" w:line="260"/>
              <w:rPr>
                <w:rFonts w:hAnsi="Arial" w:ascii="Arial"/>
                <w:sz w:val="24"/>
              </w:rPr>
            </w:pPr>
            <w:r>
              <w:rPr>
                <w:rFonts w:hAnsi="Arial" w:ascii="Arial"/>
                <w:sz w:val="18"/>
              </w:rPr>
              <w:t xml:space="preserve">Усидчивость, дисциплинированность, ответственность, легкообучаемость, мобильность, активность, целеустремленность, стрессоустойчивость.</w:t>
            </w:r>
          </w:p>
        </w:tc>
      </w:tr>
    </w:tbl>
    <w:p>
      <w:pPr>
        <w:jc w:val="left"/>
        <w:ind w:left="0" w:right="0"/>
        <w:spacing w:after="200" w:lineRule="atLeast" w:line="276"/>
        <w:rPr>
          <w:sz w:val="22"/>
        </w:rPr>
      </w:pPr>
    </w:p>
    <w:sectPr>
      <w:pgSz w:w="11906" w:h="16838"/>
      <w:pgMar w:top="0" w:bottom="1134" w:left="1134" w:right="1134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/>
    <w:pPrDefault/>
  </w:docDefaults>
  <w:style w:styleId="rtf.17" w:type="paragraph">
    <w:name w:val="Íèæíèé êîëîíòèòóë Çíàê"/>
  </w:style>
  <w:style w:styleId="rtf.15" w:type="paragraph">
    <w:name w:val="Âåðõíèé êîëîíòèòóë Çíàê"/>
  </w:style>
  <w:style w:styleId="rtf.19" w:type="paragraph">
    <w:name w:val="Текст выноски Знак"/>
    <w:rPr>
      <w:rFonts w:hAnsi="Tahoma" w:ascii="Tahoma"/>
      <w:sz w:val="16"/>
    </w:rPr>
  </w:style>
  <w:style w:styleId="rtf.0" w:type="paragraph">
    <w:name w:val="Normal Table"/>
    <w:pPr>
      <w:jc w:val="left"/>
      <w:ind w:left="0" w:right="0"/>
      <w:spacing w:after="200" w:lineRule="atLeast" w:line="276"/>
    </w:pPr>
    <w:rPr>
      <w:rFonts w:hAnsi="Calibri" w:ascii="Calibri"/>
      <w:sz w:val="22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2" Target="mailto:nata19912011@mail.ru"/><Relationship Id="rId1" Target="media/image0.jpeg" Type="http://schemas.openxmlformats.org/officeDocument/2006/relationships/image"/><Relationship Id="rId3" Target="numbering.xml" Type="http://schemas.openxmlformats.org/officeDocument/2006/relationships/numbering"/><Relationship Id="rId4" Target="settings.xml" Type="http://schemas.openxmlformats.org/officeDocument/2006/relationships/settings"/><Relationship Id="rId5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Шарафутдинова Наталья (1) (копия 1).docx</dc:title>
</cp:coreProperties>
</file>